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53C94" w14:textId="79291A7B" w:rsidR="002C31AB" w:rsidRDefault="003F44E6" w:rsidP="002C31A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en-MY"/>
        </w:rPr>
      </w:pPr>
      <w:r w:rsidRPr="003F44E6">
        <w:rPr>
          <w:rFonts w:ascii="Times New Roman" w:hAnsi="Times New Roman"/>
          <w:b/>
          <w:bCs/>
          <w:sz w:val="28"/>
          <w:szCs w:val="28"/>
          <w:lang w:val="en-MY"/>
        </w:rPr>
        <w:t>APPENDIX C. SPATIAL OBSERVATION RUBRIC AND OBSERVATION RECORD FORM</w:t>
      </w:r>
    </w:p>
    <w:p w14:paraId="5AD1DD21" w14:textId="77777777" w:rsidR="005A38E6" w:rsidRDefault="005A38E6" w:rsidP="005A38E6">
      <w:p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</w:p>
    <w:p w14:paraId="56CD2AEF" w14:textId="044B60EB" w:rsidR="005A38E6" w:rsidRPr="005A38E6" w:rsidRDefault="005A38E6" w:rsidP="0037402A">
      <w:p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5A38E6">
        <w:rPr>
          <w:rFonts w:ascii="Times New Roman" w:hAnsi="Times New Roman"/>
          <w:sz w:val="24"/>
          <w:szCs w:val="24"/>
          <w:lang w:val="en-MY"/>
        </w:rPr>
        <w:t>Scores represent qualitative spatial conditions observed during the documented site visits and are used only for cross-case comparison. Scores of 0, 1, 2, and 3 indicate absent, weak, partial, and strong observed conditions, respectively. N/O indicates that the relevant condition could not be assessed because the area or activity was inaccessible, not operating during the visit, or insufficiently documented. Acoustic-performance scores are based on structured qualitative observation rather than calibrated sound-level, reverberation-time, or other engineering acoustic measurements.</w:t>
      </w:r>
    </w:p>
    <w:p w14:paraId="1A01C3DF" w14:textId="77777777" w:rsidR="002C31AB" w:rsidRDefault="002C31AB" w:rsidP="002C31A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MY"/>
        </w:rPr>
      </w:pP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1632"/>
        <w:gridCol w:w="1489"/>
        <w:gridCol w:w="1496"/>
        <w:gridCol w:w="1616"/>
        <w:gridCol w:w="1496"/>
        <w:gridCol w:w="1523"/>
      </w:tblGrid>
      <w:tr w:rsidR="00344A16" w:rsidRPr="00344A16" w14:paraId="1317B6B4" w14:textId="77777777" w:rsidTr="00C85D48">
        <w:tc>
          <w:tcPr>
            <w:tcW w:w="1632" w:type="dxa"/>
            <w:hideMark/>
          </w:tcPr>
          <w:p w14:paraId="74E6967A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  <w:t>Criterion</w:t>
            </w:r>
          </w:p>
        </w:tc>
        <w:tc>
          <w:tcPr>
            <w:tcW w:w="0" w:type="auto"/>
            <w:hideMark/>
          </w:tcPr>
          <w:p w14:paraId="4D27ACF9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  <w:t>Score 0</w:t>
            </w:r>
          </w:p>
        </w:tc>
        <w:tc>
          <w:tcPr>
            <w:tcW w:w="0" w:type="auto"/>
            <w:hideMark/>
          </w:tcPr>
          <w:p w14:paraId="0623A09B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  <w:t>Score 1</w:t>
            </w:r>
          </w:p>
        </w:tc>
        <w:tc>
          <w:tcPr>
            <w:tcW w:w="0" w:type="auto"/>
            <w:hideMark/>
          </w:tcPr>
          <w:p w14:paraId="1FD50D1D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  <w:t>Score 2</w:t>
            </w:r>
          </w:p>
        </w:tc>
        <w:tc>
          <w:tcPr>
            <w:tcW w:w="0" w:type="auto"/>
            <w:hideMark/>
          </w:tcPr>
          <w:p w14:paraId="4B64CADB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b/>
                <w:bCs/>
                <w:sz w:val="24"/>
                <w:szCs w:val="24"/>
                <w:lang w:val="en-MY"/>
              </w:rPr>
              <w:t>Score 3</w:t>
            </w:r>
          </w:p>
        </w:tc>
        <w:tc>
          <w:tcPr>
            <w:tcW w:w="0" w:type="auto"/>
            <w:hideMark/>
          </w:tcPr>
          <w:p w14:paraId="74C70BAC" w14:textId="3C189A38" w:rsidR="00344A16" w:rsidRPr="00C15B4D" w:rsidRDefault="00C15B4D" w:rsidP="00344A1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MY"/>
              </w:rPr>
            </w:pPr>
            <w:r w:rsidRPr="00C15B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MY"/>
              </w:rPr>
              <w:t xml:space="preserve">Evidence </w:t>
            </w:r>
            <w:r w:rsidR="005B332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MY"/>
              </w:rPr>
              <w:t>S</w:t>
            </w:r>
            <w:r w:rsidRPr="00C15B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MY"/>
              </w:rPr>
              <w:t>ource</w:t>
            </w:r>
          </w:p>
        </w:tc>
      </w:tr>
      <w:tr w:rsidR="00344A16" w:rsidRPr="00344A16" w14:paraId="1FBA5C61" w14:textId="77777777" w:rsidTr="00C85D48">
        <w:tc>
          <w:tcPr>
            <w:tcW w:w="1632" w:type="dxa"/>
            <w:hideMark/>
          </w:tcPr>
          <w:p w14:paraId="0FC8DC8D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Visual permeability</w:t>
            </w:r>
          </w:p>
        </w:tc>
        <w:tc>
          <w:tcPr>
            <w:tcW w:w="0" w:type="auto"/>
            <w:hideMark/>
          </w:tcPr>
          <w:p w14:paraId="27C1D9CD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No observable visual connection among the relevant public, learning, rehearsal, performance, backstage, storage, or ritual zones</w:t>
            </w:r>
          </w:p>
        </w:tc>
        <w:tc>
          <w:tcPr>
            <w:tcW w:w="0" w:type="auto"/>
            <w:hideMark/>
          </w:tcPr>
          <w:p w14:paraId="52CD5960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Limited visual access, with most views blocked by walls, doors, partitions, stairs, level changes, or other physical obstructions</w:t>
            </w:r>
          </w:p>
        </w:tc>
        <w:tc>
          <w:tcPr>
            <w:tcW w:w="0" w:type="auto"/>
            <w:hideMark/>
          </w:tcPr>
          <w:p w14:paraId="2AEA91CA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Partial visual connection between selected zones, with some significant obstructions or discontinuities</w:t>
            </w:r>
          </w:p>
        </w:tc>
        <w:tc>
          <w:tcPr>
            <w:tcW w:w="0" w:type="auto"/>
            <w:hideMark/>
          </w:tcPr>
          <w:p w14:paraId="03E7CB07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Clear sightlines among the relevant public, learning, rehearsal, performance, backstage, storage, or ritual zones</w:t>
            </w:r>
          </w:p>
        </w:tc>
        <w:tc>
          <w:tcPr>
            <w:tcW w:w="0" w:type="auto"/>
            <w:hideMark/>
          </w:tcPr>
          <w:p w14:paraId="6E647A72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Plan-marked sightlines, observation positions, photographs, field sketches, openings, partitions, stairs, level changes, and physical obstructions</w:t>
            </w:r>
          </w:p>
        </w:tc>
      </w:tr>
      <w:tr w:rsidR="00344A16" w:rsidRPr="00344A16" w14:paraId="1719DD0F" w14:textId="77777777" w:rsidTr="00C85D48">
        <w:tc>
          <w:tcPr>
            <w:tcW w:w="1632" w:type="dxa"/>
            <w:hideMark/>
          </w:tcPr>
          <w:p w14:paraId="4B76BD8B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Acoustic performance</w:t>
            </w:r>
          </w:p>
        </w:tc>
        <w:tc>
          <w:tcPr>
            <w:tcW w:w="0" w:type="auto"/>
            <w:hideMark/>
          </w:tcPr>
          <w:p w14:paraId="25526234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No observable architectural or operational support for vocal clarity or percussive coordination under the documented operating condition</w:t>
            </w:r>
          </w:p>
        </w:tc>
        <w:tc>
          <w:tcPr>
            <w:tcW w:w="0" w:type="auto"/>
            <w:hideMark/>
          </w:tcPr>
          <w:p w14:paraId="648E1D29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Weak observed acoustic support, with substantial interference from external noise, spatial limitations, sound overlap, or dependence on electronic amplification</w:t>
            </w:r>
          </w:p>
        </w:tc>
        <w:tc>
          <w:tcPr>
            <w:tcW w:w="0" w:type="auto"/>
            <w:hideMark/>
          </w:tcPr>
          <w:p w14:paraId="3B01978B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Partial observed acoustic support, with generally audible vocal or percussive activity but identifiable limitations arising from room volume, materials, external noise, or amplification</w:t>
            </w:r>
          </w:p>
        </w:tc>
        <w:tc>
          <w:tcPr>
            <w:tcW w:w="0" w:type="auto"/>
            <w:hideMark/>
          </w:tcPr>
          <w:p w14:paraId="471F8DAE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Strong observed acoustic support for vocal clarity, percussive coordination, listening, and instruction, with limited interference or dependence on amplification</w:t>
            </w:r>
          </w:p>
        </w:tc>
        <w:tc>
          <w:tcPr>
            <w:tcW w:w="0" w:type="auto"/>
            <w:hideMark/>
          </w:tcPr>
          <w:p w14:paraId="208B326A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Room volume, ceiling height, surface materials, external noise, vocal and percussive audibility, sound transmission between adjacent spaces, amplification use, and field notes</w:t>
            </w:r>
          </w:p>
        </w:tc>
      </w:tr>
      <w:tr w:rsidR="00344A16" w:rsidRPr="00344A16" w14:paraId="3D544823" w14:textId="77777777" w:rsidTr="00C85D48">
        <w:tc>
          <w:tcPr>
            <w:tcW w:w="1632" w:type="dxa"/>
            <w:hideMark/>
          </w:tcPr>
          <w:p w14:paraId="5642460A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Urban legibility</w:t>
            </w:r>
          </w:p>
        </w:tc>
        <w:tc>
          <w:tcPr>
            <w:tcW w:w="0" w:type="auto"/>
            <w:hideMark/>
          </w:tcPr>
          <w:p w14:paraId="4785D34F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 xml:space="preserve">No identifiable street presence, visible </w:t>
            </w: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entrance, or publicly recognizable access point</w:t>
            </w:r>
          </w:p>
        </w:tc>
        <w:tc>
          <w:tcPr>
            <w:tcW w:w="0" w:type="auto"/>
            <w:hideMark/>
          </w:tcPr>
          <w:p w14:paraId="74086A31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 xml:space="preserve">Weak street visibility, with a concealed entrance, </w:t>
            </w: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minimal signage, difficult access, or substantial reliance on prior knowledge</w:t>
            </w:r>
          </w:p>
        </w:tc>
        <w:tc>
          <w:tcPr>
            <w:tcW w:w="0" w:type="auto"/>
            <w:hideMark/>
          </w:tcPr>
          <w:p w14:paraId="01DEDA9B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 xml:space="preserve">Moderate street visibility, with an identifiable </w:t>
            </w: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frontage or entrance but a limited public interface</w:t>
            </w:r>
          </w:p>
        </w:tc>
        <w:tc>
          <w:tcPr>
            <w:tcW w:w="0" w:type="auto"/>
            <w:hideMark/>
          </w:tcPr>
          <w:p w14:paraId="5D752913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 xml:space="preserve">Strong street presence, clear signage, a visible </w:t>
            </w: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entrance, and an accessible public interface</w:t>
            </w:r>
          </w:p>
        </w:tc>
        <w:tc>
          <w:tcPr>
            <w:tcW w:w="0" w:type="auto"/>
            <w:hideMark/>
          </w:tcPr>
          <w:p w14:paraId="72B5A3A8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 xml:space="preserve">Facade photographs, street frontage, signage, </w:t>
            </w: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entrance visibility, access sequence, pedestrian approach, and reliance on prior knowledge</w:t>
            </w:r>
          </w:p>
        </w:tc>
      </w:tr>
      <w:tr w:rsidR="00344A16" w:rsidRPr="00344A16" w14:paraId="32D49C51" w14:textId="77777777" w:rsidTr="00C85D48">
        <w:tc>
          <w:tcPr>
            <w:tcW w:w="1632" w:type="dxa"/>
            <w:hideMark/>
          </w:tcPr>
          <w:p w14:paraId="656033F7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lastRenderedPageBreak/>
              <w:t>Transmission capacity</w:t>
            </w:r>
          </w:p>
        </w:tc>
        <w:tc>
          <w:tcPr>
            <w:tcW w:w="0" w:type="auto"/>
            <w:hideMark/>
          </w:tcPr>
          <w:p w14:paraId="36B66EFC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No observable spatial support for the co-presence or connection of learning, ritual, rehearsal, storage, archive, backstage, performance, or informal social functions</w:t>
            </w:r>
          </w:p>
        </w:tc>
        <w:tc>
          <w:tcPr>
            <w:tcW w:w="0" w:type="auto"/>
            <w:hideMark/>
          </w:tcPr>
          <w:p w14:paraId="0FCC94BD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Relevant functions are present but spatially fragmented, poorly connected, or difficult to access</w:t>
            </w:r>
          </w:p>
        </w:tc>
        <w:tc>
          <w:tcPr>
            <w:tcW w:w="0" w:type="auto"/>
            <w:hideMark/>
          </w:tcPr>
          <w:p w14:paraId="3672CC4F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Several relevant functions are present and partially connected, allowing some opportunities for observation, instruction, or participation</w:t>
            </w:r>
          </w:p>
        </w:tc>
        <w:tc>
          <w:tcPr>
            <w:tcW w:w="0" w:type="auto"/>
            <w:hideMark/>
          </w:tcPr>
          <w:p w14:paraId="6D14CEA2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Rehearsal, teaching, ritual, storage, archive, backstage, performance, and informal interaction are spatially integrated through appropriate adjacencies and thresholds</w:t>
            </w:r>
          </w:p>
        </w:tc>
        <w:tc>
          <w:tcPr>
            <w:tcW w:w="0" w:type="auto"/>
            <w:hideMark/>
          </w:tcPr>
          <w:p w14:paraId="5248182F" w14:textId="77777777" w:rsidR="00344A16" w:rsidRPr="00344A16" w:rsidRDefault="00344A16" w:rsidP="00344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MY"/>
              </w:rPr>
            </w:pPr>
            <w:r w:rsidRPr="00344A16">
              <w:rPr>
                <w:rFonts w:ascii="Times New Roman" w:hAnsi="Times New Roman"/>
                <w:sz w:val="24"/>
                <w:szCs w:val="24"/>
                <w:lang w:val="en-MY"/>
              </w:rPr>
              <w:t>Plan zoning, activity mapping, field notes, photographs, spatial adjacencies, observed interactions, and interview corroboration</w:t>
            </w:r>
          </w:p>
        </w:tc>
      </w:tr>
    </w:tbl>
    <w:p w14:paraId="07191332" w14:textId="30C3ED0E" w:rsidR="002C31AB" w:rsidRPr="00C85D48" w:rsidRDefault="00C85D48" w:rsidP="00C85D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MY"/>
        </w:rPr>
      </w:pPr>
      <w:r w:rsidRPr="00C85D48">
        <w:rPr>
          <w:rFonts w:ascii="Times New Roman" w:hAnsi="Times New Roman"/>
          <w:sz w:val="24"/>
          <w:szCs w:val="24"/>
          <w:lang w:val="en-MY"/>
        </w:rPr>
        <w:t>N/O—Not observed or not assessable: the relevant area or activity was inaccessible, not operating during the visit, or insufficiently documented. N/O is not interpreted as a score of 0 or as evidence that the condition was absent.</w:t>
      </w:r>
    </w:p>
    <w:p w14:paraId="6F5E781E" w14:textId="77777777" w:rsidR="00C85D48" w:rsidRPr="003F44E6" w:rsidRDefault="00C85D48" w:rsidP="002C31AB">
      <w:p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</w:p>
    <w:p w14:paraId="68021A96" w14:textId="77777777" w:rsidR="002C31AB" w:rsidRPr="003F44E6" w:rsidRDefault="002C31AB" w:rsidP="002C31A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MY"/>
        </w:rPr>
      </w:pPr>
      <w:r w:rsidRPr="003F44E6">
        <w:rPr>
          <w:rFonts w:ascii="Times New Roman" w:hAnsi="Times New Roman"/>
          <w:b/>
          <w:bCs/>
          <w:sz w:val="24"/>
          <w:szCs w:val="24"/>
          <w:lang w:val="en-MY"/>
        </w:rPr>
        <w:t>Field observation record form</w:t>
      </w:r>
    </w:p>
    <w:p w14:paraId="33C2D9E3" w14:textId="77777777" w:rsidR="002C31AB" w:rsidRPr="003F44E6" w:rsidRDefault="002C31AB" w:rsidP="002C31AB">
      <w:p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For each site visit, the following categories were recorded:</w:t>
      </w:r>
    </w:p>
    <w:p w14:paraId="552DBACC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Site name</w:t>
      </w:r>
    </w:p>
    <w:p w14:paraId="5663FC13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Visit date</w:t>
      </w:r>
    </w:p>
    <w:p w14:paraId="54CA482E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Start and end time</w:t>
      </w:r>
    </w:p>
    <w:p w14:paraId="6F400066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Duration</w:t>
      </w:r>
    </w:p>
    <w:p w14:paraId="055C3448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Observer name</w:t>
      </w:r>
    </w:p>
    <w:p w14:paraId="3D4E5EEF" w14:textId="4AF81A61" w:rsidR="002C31AB" w:rsidRPr="003F44E6" w:rsidRDefault="00C40B96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C40B96">
        <w:rPr>
          <w:rFonts w:ascii="Times New Roman" w:hAnsi="Times New Roman"/>
          <w:sz w:val="24"/>
          <w:szCs w:val="24"/>
        </w:rPr>
        <w:t xml:space="preserve">Operational </w:t>
      </w:r>
      <w:r w:rsidR="00E72BBA">
        <w:rPr>
          <w:rFonts w:ascii="Times New Roman" w:hAnsi="Times New Roman"/>
          <w:sz w:val="24"/>
          <w:szCs w:val="24"/>
        </w:rPr>
        <w:t>state</w:t>
      </w:r>
      <w:r w:rsidRPr="00C40B96">
        <w:rPr>
          <w:rFonts w:ascii="Times New Roman" w:hAnsi="Times New Roman"/>
          <w:sz w:val="24"/>
          <w:szCs w:val="24"/>
        </w:rPr>
        <w:t xml:space="preserve">: </w:t>
      </w:r>
      <w:r w:rsidR="001D1706">
        <w:rPr>
          <w:rFonts w:ascii="Times New Roman" w:hAnsi="Times New Roman"/>
          <w:sz w:val="24"/>
          <w:szCs w:val="24"/>
        </w:rPr>
        <w:t>inactive</w:t>
      </w:r>
      <w:r w:rsidRPr="00C40B96">
        <w:rPr>
          <w:rFonts w:ascii="Times New Roman" w:hAnsi="Times New Roman"/>
          <w:sz w:val="24"/>
          <w:szCs w:val="24"/>
        </w:rPr>
        <w:t>/rehearsal/ritual/administrative activity/interview/private lecture/storage/public event/other</w:t>
      </w:r>
    </w:p>
    <w:p w14:paraId="029CDA2F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Areas accessed</w:t>
      </w:r>
    </w:p>
    <w:p w14:paraId="566AEB01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Activities observed</w:t>
      </w:r>
    </w:p>
    <w:p w14:paraId="5EC66C77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Public access condition</w:t>
      </w:r>
    </w:p>
    <w:p w14:paraId="7D3BFFAC" w14:textId="7812810A" w:rsidR="002C31AB" w:rsidRPr="003F44E6" w:rsidRDefault="00C40B96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C40B96">
        <w:rPr>
          <w:rFonts w:ascii="Times New Roman" w:hAnsi="Times New Roman"/>
          <w:sz w:val="24"/>
          <w:szCs w:val="24"/>
        </w:rPr>
        <w:t>Street frontage, signage, entrance visibility, and access condition</w:t>
      </w:r>
    </w:p>
    <w:p w14:paraId="01CC5FA7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Doors, windows, partitions, stairs, and thresholds observed</w:t>
      </w:r>
    </w:p>
    <w:p w14:paraId="187E2804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Primary circulation routes</w:t>
      </w:r>
    </w:p>
    <w:p w14:paraId="3AD1EA96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Observation points</w:t>
      </w:r>
    </w:p>
    <w:p w14:paraId="222151C3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Sightlines and blocked views</w:t>
      </w:r>
    </w:p>
    <w:p w14:paraId="734A7470" w14:textId="02B5777D" w:rsidR="002C31AB" w:rsidRPr="003F44E6" w:rsidRDefault="00C40B96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C40B96">
        <w:rPr>
          <w:rFonts w:ascii="Times New Roman" w:hAnsi="Times New Roman"/>
          <w:sz w:val="24"/>
          <w:szCs w:val="24"/>
        </w:rPr>
        <w:t>Observed acoustic conditions: room volume, ceiling height, surface materials, external noise, vocal and percussive audibility, sound transmission between adjacent spaces, and amplification use</w:t>
      </w:r>
    </w:p>
    <w:p w14:paraId="0A61DB49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lastRenderedPageBreak/>
        <w:t>Ritual elements: altar, offering table, ritual threshold, backstage preparation</w:t>
      </w:r>
    </w:p>
    <w:p w14:paraId="672636E4" w14:textId="3A371CB1" w:rsidR="002C31AB" w:rsidRPr="003F44E6" w:rsidRDefault="00C40B96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C40B96">
        <w:rPr>
          <w:rFonts w:ascii="Times New Roman" w:hAnsi="Times New Roman"/>
          <w:sz w:val="24"/>
          <w:szCs w:val="24"/>
        </w:rPr>
        <w:t>Learning activities: observation, listening, demonstration, imitation, correction, rehearsal, participation, and informal conversation</w:t>
      </w:r>
    </w:p>
    <w:p w14:paraId="4014AB95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Storage and archive conditions</w:t>
      </w:r>
    </w:p>
    <w:p w14:paraId="74075C66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Photographs taken</w:t>
      </w:r>
    </w:p>
    <w:p w14:paraId="5970BD20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Sketches or measurements taken</w:t>
      </w:r>
    </w:p>
    <w:p w14:paraId="55144911" w14:textId="77777777" w:rsidR="002C31AB" w:rsidRPr="003F44E6" w:rsidRDefault="002C31AB" w:rsidP="002C31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3F44E6">
        <w:rPr>
          <w:rFonts w:ascii="Times New Roman" w:hAnsi="Times New Roman"/>
          <w:sz w:val="24"/>
          <w:szCs w:val="24"/>
          <w:lang w:val="en-MY"/>
        </w:rPr>
        <w:t>Researcher comments</w:t>
      </w:r>
    </w:p>
    <w:p w14:paraId="2F7E2D54" w14:textId="27A5D013" w:rsidR="002C31AB" w:rsidRPr="003F44E6" w:rsidRDefault="00C40B96" w:rsidP="00623B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MY"/>
        </w:rPr>
      </w:pPr>
      <w:r w:rsidRPr="00C40B96">
        <w:rPr>
          <w:rFonts w:ascii="Times New Roman" w:hAnsi="Times New Roman"/>
          <w:sz w:val="24"/>
          <w:szCs w:val="24"/>
        </w:rPr>
        <w:t>Cross-checking evidence: photograph/field sketch/measurement/plan annotation/interview/archival source/other</w:t>
      </w:r>
    </w:p>
    <w:sectPr w:rsidR="002C31AB" w:rsidRPr="003F44E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85443" w14:textId="77777777" w:rsidR="00E2697C" w:rsidRDefault="00E2697C" w:rsidP="003F44E6">
      <w:pPr>
        <w:spacing w:after="0" w:line="240" w:lineRule="auto"/>
      </w:pPr>
      <w:r>
        <w:separator/>
      </w:r>
    </w:p>
  </w:endnote>
  <w:endnote w:type="continuationSeparator" w:id="0">
    <w:p w14:paraId="4DDEF8E6" w14:textId="77777777" w:rsidR="00E2697C" w:rsidRDefault="00E2697C" w:rsidP="003F4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ibre Baskerville">
    <w:panose1 w:val="02000000000000000000"/>
    <w:charset w:val="00"/>
    <w:family w:val="auto"/>
    <w:pitch w:val="variable"/>
    <w:sig w:usb0="A00000BF" w:usb1="50000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04128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D61DC42" w14:textId="7A7EF5AD" w:rsidR="003954C3" w:rsidRPr="003954C3" w:rsidRDefault="003954C3">
        <w:pPr>
          <w:pStyle w:val="Footer"/>
          <w:jc w:val="center"/>
          <w:rPr>
            <w:rFonts w:asciiTheme="majorBidi" w:hAnsiTheme="majorBidi" w:cstheme="majorBidi"/>
          </w:rPr>
        </w:pPr>
        <w:r w:rsidRPr="003954C3">
          <w:rPr>
            <w:rFonts w:asciiTheme="majorBidi" w:hAnsiTheme="majorBidi" w:cstheme="majorBidi"/>
          </w:rPr>
          <w:fldChar w:fldCharType="begin"/>
        </w:r>
        <w:r w:rsidRPr="003954C3">
          <w:rPr>
            <w:rFonts w:asciiTheme="majorBidi" w:hAnsiTheme="majorBidi" w:cstheme="majorBidi"/>
          </w:rPr>
          <w:instrText xml:space="preserve"> PAGE   \* MERGEFORMAT </w:instrText>
        </w:r>
        <w:r w:rsidRPr="003954C3">
          <w:rPr>
            <w:rFonts w:asciiTheme="majorBidi" w:hAnsiTheme="majorBidi" w:cstheme="majorBidi"/>
          </w:rPr>
          <w:fldChar w:fldCharType="separate"/>
        </w:r>
        <w:r w:rsidRPr="003954C3">
          <w:rPr>
            <w:rFonts w:asciiTheme="majorBidi" w:hAnsiTheme="majorBidi" w:cstheme="majorBidi"/>
            <w:noProof/>
          </w:rPr>
          <w:t>2</w:t>
        </w:r>
        <w:r w:rsidRPr="003954C3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0B5B1044" w14:textId="77777777" w:rsidR="003954C3" w:rsidRDefault="0039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952A" w14:textId="77777777" w:rsidR="00E2697C" w:rsidRDefault="00E2697C" w:rsidP="003F44E6">
      <w:pPr>
        <w:spacing w:after="0" w:line="240" w:lineRule="auto"/>
      </w:pPr>
      <w:r>
        <w:separator/>
      </w:r>
    </w:p>
  </w:footnote>
  <w:footnote w:type="continuationSeparator" w:id="0">
    <w:p w14:paraId="7E6D04D8" w14:textId="77777777" w:rsidR="00E2697C" w:rsidRDefault="00E2697C" w:rsidP="003F4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157F0"/>
    <w:multiLevelType w:val="multilevel"/>
    <w:tmpl w:val="91E4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026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F3"/>
    <w:rsid w:val="00150117"/>
    <w:rsid w:val="001D1706"/>
    <w:rsid w:val="001F584D"/>
    <w:rsid w:val="00265E81"/>
    <w:rsid w:val="002C31AB"/>
    <w:rsid w:val="00344A16"/>
    <w:rsid w:val="003724B4"/>
    <w:rsid w:val="0037402A"/>
    <w:rsid w:val="003954C3"/>
    <w:rsid w:val="003D06B5"/>
    <w:rsid w:val="003E70AA"/>
    <w:rsid w:val="003F44E6"/>
    <w:rsid w:val="00424608"/>
    <w:rsid w:val="00494B8F"/>
    <w:rsid w:val="005A38E6"/>
    <w:rsid w:val="005B3321"/>
    <w:rsid w:val="005F5EE6"/>
    <w:rsid w:val="00623B7A"/>
    <w:rsid w:val="006C66F3"/>
    <w:rsid w:val="006F0680"/>
    <w:rsid w:val="00726273"/>
    <w:rsid w:val="007D21C2"/>
    <w:rsid w:val="008143B5"/>
    <w:rsid w:val="00854563"/>
    <w:rsid w:val="0086422B"/>
    <w:rsid w:val="00892390"/>
    <w:rsid w:val="008A75D4"/>
    <w:rsid w:val="008B2C91"/>
    <w:rsid w:val="009569D7"/>
    <w:rsid w:val="00B1052F"/>
    <w:rsid w:val="00B41CDF"/>
    <w:rsid w:val="00BE5B9A"/>
    <w:rsid w:val="00C15B4D"/>
    <w:rsid w:val="00C40B96"/>
    <w:rsid w:val="00C42621"/>
    <w:rsid w:val="00C85D48"/>
    <w:rsid w:val="00CB581B"/>
    <w:rsid w:val="00D100F6"/>
    <w:rsid w:val="00E2697C"/>
    <w:rsid w:val="00E72BBA"/>
    <w:rsid w:val="00EA2B65"/>
    <w:rsid w:val="00EF2D87"/>
    <w:rsid w:val="00F5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B3B4"/>
  <w15:chartTrackingRefBased/>
  <w15:docId w15:val="{D39E4C41-65BD-4E72-BB4A-CA41A770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6F3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6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6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6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6F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6F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6F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6F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6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6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6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6F3"/>
    <w:rPr>
      <w:rFonts w:eastAsiaTheme="majorEastAsia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6F3"/>
    <w:rPr>
      <w:rFonts w:eastAsiaTheme="majorEastAsia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6F3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6F3"/>
    <w:rPr>
      <w:rFonts w:eastAsiaTheme="majorEastAsia" w:cstheme="majorBidi"/>
      <w:color w:val="595959" w:themeColor="text1" w:themeTint="A6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6F3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6F3"/>
    <w:rPr>
      <w:rFonts w:eastAsiaTheme="majorEastAsia" w:cstheme="majorBidi"/>
      <w:color w:val="272727" w:themeColor="text1" w:themeTint="D8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6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6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6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6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66F3"/>
    <w:rPr>
      <w:rFonts w:ascii="Libre Baskerville" w:hAnsi="Libre Baskerville"/>
      <w:i/>
      <w:iCs/>
      <w:color w:val="404040" w:themeColor="text1" w:themeTint="BF"/>
      <w:sz w:val="20"/>
    </w:rPr>
  </w:style>
  <w:style w:type="paragraph" w:styleId="ListParagraph">
    <w:name w:val="List Paragraph"/>
    <w:basedOn w:val="Normal"/>
    <w:uiPriority w:val="34"/>
    <w:qFormat/>
    <w:rsid w:val="006C6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66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6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6F3"/>
    <w:rPr>
      <w:rFonts w:ascii="Libre Baskerville" w:hAnsi="Libre Baskerville"/>
      <w:i/>
      <w:iCs/>
      <w:color w:val="2F5496" w:themeColor="accent1" w:themeShade="BF"/>
      <w:sz w:val="20"/>
    </w:rPr>
  </w:style>
  <w:style w:type="character" w:styleId="IntenseReference">
    <w:name w:val="Intense Reference"/>
    <w:basedOn w:val="DefaultParagraphFont"/>
    <w:uiPriority w:val="32"/>
    <w:qFormat/>
    <w:rsid w:val="006C66F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C6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4E6"/>
    <w:rPr>
      <w:rFonts w:ascii="Calibri" w:eastAsia="Calibri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4E6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Hazwan Ariff Hakimi</dc:creator>
  <cp:keywords/>
  <dc:description/>
  <cp:lastModifiedBy>Hazwan Ariff Hakimi</cp:lastModifiedBy>
  <cp:revision>14</cp:revision>
  <dcterms:created xsi:type="dcterms:W3CDTF">2026-06-28T09:22:00Z</dcterms:created>
  <dcterms:modified xsi:type="dcterms:W3CDTF">2026-07-19T01:01:00Z</dcterms:modified>
</cp:coreProperties>
</file>